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42B9" w:rsidRPr="004C25CC" w:rsidRDefault="00DD42B9" w:rsidP="00804EC9">
      <w:pPr>
        <w:widowControl w:val="0"/>
        <w:ind w:left="4963" w:hanging="4678"/>
        <w:jc w:val="right"/>
        <w:rPr>
          <w:snapToGrid w:val="0"/>
        </w:rPr>
      </w:pPr>
      <w:r>
        <w:t>Z</w:t>
      </w:r>
      <w:r w:rsidRPr="004C25CC">
        <w:t xml:space="preserve">ałącznik nr </w:t>
      </w:r>
      <w:r>
        <w:t>2</w:t>
      </w:r>
      <w:r w:rsidR="007F7351">
        <w:t xml:space="preserve"> </w:t>
      </w:r>
      <w:r w:rsidR="00804EC9">
        <w:t>do SWZ</w:t>
      </w:r>
    </w:p>
    <w:p w:rsidR="00DD42B9" w:rsidRDefault="00DD42B9" w:rsidP="00931FA4">
      <w:pPr>
        <w:pStyle w:val="Tekstpodstawowy"/>
        <w:ind w:left="360" w:hanging="360"/>
        <w:jc w:val="both"/>
        <w:rPr>
          <w:rFonts w:ascii="Bookman Old Style" w:hAnsi="Bookman Old Style" w:cs="Tahoma"/>
          <w:b/>
          <w:spacing w:val="40"/>
          <w:sz w:val="28"/>
          <w:szCs w:val="28"/>
          <w:u w:val="single"/>
        </w:rPr>
      </w:pPr>
    </w:p>
    <w:p w:rsidR="00DD42B9" w:rsidRDefault="00DD42B9" w:rsidP="00931FA4">
      <w:pPr>
        <w:pStyle w:val="Tekstpodstawowy"/>
        <w:ind w:left="360" w:hanging="360"/>
        <w:jc w:val="both"/>
        <w:rPr>
          <w:rFonts w:ascii="Bookman Old Style" w:hAnsi="Bookman Old Style" w:cs="Tahoma"/>
          <w:b/>
          <w:spacing w:val="40"/>
          <w:sz w:val="28"/>
          <w:szCs w:val="28"/>
          <w:u w:val="single"/>
        </w:rPr>
      </w:pPr>
    </w:p>
    <w:p w:rsidR="003E5FD8" w:rsidRPr="00DC65BC" w:rsidRDefault="003E5FD8" w:rsidP="000420C5">
      <w:pPr>
        <w:pStyle w:val="Tekstpodstawowy"/>
        <w:ind w:left="360" w:hanging="360"/>
        <w:rPr>
          <w:rFonts w:ascii="Bookman Old Style" w:hAnsi="Bookman Old Style" w:cs="Tahoma"/>
          <w:b/>
          <w:spacing w:val="40"/>
          <w:sz w:val="28"/>
          <w:szCs w:val="28"/>
          <w:u w:val="single"/>
        </w:rPr>
      </w:pPr>
      <w:r w:rsidRPr="00DC65BC">
        <w:rPr>
          <w:rFonts w:ascii="Bookman Old Style" w:hAnsi="Bookman Old Style" w:cs="Tahoma"/>
          <w:b/>
          <w:spacing w:val="40"/>
          <w:sz w:val="28"/>
          <w:szCs w:val="28"/>
          <w:u w:val="single"/>
        </w:rPr>
        <w:t>OPIS PRZEDMIOTU ZAMÓWIENIA</w:t>
      </w:r>
    </w:p>
    <w:p w:rsidR="003E5FD8" w:rsidRDefault="003E5FD8" w:rsidP="00931FA4">
      <w:pPr>
        <w:widowControl w:val="0"/>
        <w:jc w:val="both"/>
        <w:rPr>
          <w:b/>
          <w:snapToGrid w:val="0"/>
          <w:color w:val="000000"/>
        </w:rPr>
      </w:pPr>
    </w:p>
    <w:p w:rsidR="0000337A" w:rsidRDefault="003E5FD8" w:rsidP="00931FA4">
      <w:pPr>
        <w:widowControl w:val="0"/>
        <w:ind w:left="180" w:hanging="180"/>
        <w:jc w:val="both"/>
        <w:rPr>
          <w:snapToGrid w:val="0"/>
          <w:color w:val="000000"/>
        </w:rPr>
      </w:pPr>
      <w:r w:rsidRPr="00AD204A">
        <w:rPr>
          <w:snapToGrid w:val="0"/>
          <w:color w:val="000000"/>
        </w:rPr>
        <w:t>I.</w:t>
      </w:r>
      <w:r>
        <w:rPr>
          <w:b/>
          <w:snapToGrid w:val="0"/>
          <w:color w:val="000000"/>
        </w:rPr>
        <w:t xml:space="preserve"> </w:t>
      </w:r>
      <w:r w:rsidR="000420C5">
        <w:rPr>
          <w:snapToGrid w:val="0"/>
          <w:color w:val="000000"/>
        </w:rPr>
        <w:t>Przedmiot</w:t>
      </w:r>
      <w:r w:rsidRPr="00AD204A">
        <w:rPr>
          <w:snapToGrid w:val="0"/>
          <w:color w:val="000000"/>
        </w:rPr>
        <w:t xml:space="preserve"> zamówienia </w:t>
      </w:r>
    </w:p>
    <w:p w:rsidR="0000337A" w:rsidRDefault="0000337A" w:rsidP="00931FA4">
      <w:pPr>
        <w:widowControl w:val="0"/>
        <w:ind w:left="180" w:hanging="180"/>
        <w:jc w:val="both"/>
        <w:rPr>
          <w:snapToGrid w:val="0"/>
          <w:color w:val="000000"/>
        </w:rPr>
      </w:pPr>
    </w:p>
    <w:p w:rsidR="0000337A" w:rsidRDefault="004E03C6" w:rsidP="00931FA4">
      <w:pPr>
        <w:widowControl w:val="0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 xml:space="preserve">Przedmiotem zamówienia jest </w:t>
      </w:r>
      <w:r w:rsidR="00EC516E">
        <w:rPr>
          <w:snapToGrid w:val="0"/>
          <w:color w:val="000000"/>
        </w:rPr>
        <w:t>„</w:t>
      </w:r>
      <w:r w:rsidR="00605C4D">
        <w:t>Sprzedaż i dostawa do siedziby Zamawiającego  zestawów do aferezy automatycznej wykonywanej za pomocą separatora komórkowego</w:t>
      </w:r>
      <w:r w:rsidR="00EC516E">
        <w:rPr>
          <w:snapToGrid w:val="0"/>
          <w:color w:val="000000"/>
        </w:rPr>
        <w:t xml:space="preserve">”. </w:t>
      </w:r>
    </w:p>
    <w:p w:rsidR="00605C4D" w:rsidRDefault="00605C4D" w:rsidP="00931FA4">
      <w:pPr>
        <w:spacing w:line="276" w:lineRule="auto"/>
        <w:ind w:left="1276" w:hanging="1276"/>
        <w:jc w:val="both"/>
        <w:rPr>
          <w:b/>
          <w:bCs/>
        </w:rPr>
      </w:pPr>
    </w:p>
    <w:p w:rsidR="00EC516E" w:rsidRPr="004E03C6" w:rsidRDefault="00EC516E" w:rsidP="00605C4D">
      <w:pPr>
        <w:spacing w:line="276" w:lineRule="auto"/>
        <w:jc w:val="both"/>
        <w:rPr>
          <w:bCs/>
        </w:rPr>
      </w:pPr>
      <w:r w:rsidRPr="004E03C6">
        <w:rPr>
          <w:bCs/>
        </w:rPr>
        <w:t>Zestawy jednoigłowe do pobierania UKKP zawieszonego w PAS/osoczu wraz z dodatkową jednostką osocza, kompatybilne z posiadanymi</w:t>
      </w:r>
      <w:r w:rsidR="004E03C6">
        <w:rPr>
          <w:bCs/>
        </w:rPr>
        <w:t xml:space="preserve"> przez Zamawiającego</w:t>
      </w:r>
      <w:r w:rsidRPr="004E03C6">
        <w:rPr>
          <w:bCs/>
        </w:rPr>
        <w:t xml:space="preserve"> separatorami </w:t>
      </w:r>
      <w:proofErr w:type="spellStart"/>
      <w:r w:rsidRPr="004E03C6">
        <w:rPr>
          <w:bCs/>
        </w:rPr>
        <w:t>Amicus</w:t>
      </w:r>
      <w:proofErr w:type="spellEnd"/>
      <w:r w:rsidRPr="004E03C6">
        <w:rPr>
          <w:bCs/>
        </w:rPr>
        <w:t>, w ilości 3</w:t>
      </w:r>
      <w:r w:rsidR="00605C4D" w:rsidRPr="004E03C6">
        <w:rPr>
          <w:bCs/>
        </w:rPr>
        <w:t>6</w:t>
      </w:r>
      <w:r w:rsidRPr="004E03C6">
        <w:rPr>
          <w:bCs/>
        </w:rPr>
        <w:t> 000 sztuk</w:t>
      </w:r>
      <w:r w:rsidR="000153F2" w:rsidRPr="004E03C6">
        <w:rPr>
          <w:bCs/>
        </w:rPr>
        <w:t xml:space="preserve"> wraz z płynem anty</w:t>
      </w:r>
      <w:r w:rsidRPr="004E03C6">
        <w:rPr>
          <w:bCs/>
        </w:rPr>
        <w:t>koagulacyjnym ACD</w:t>
      </w:r>
      <w:r w:rsidR="003F4E02" w:rsidRPr="004E03C6">
        <w:rPr>
          <w:bCs/>
        </w:rPr>
        <w:t xml:space="preserve"> w ilości 36</w:t>
      </w:r>
      <w:r w:rsidR="004E03C6" w:rsidRPr="004E03C6">
        <w:rPr>
          <w:bCs/>
        </w:rPr>
        <w:t xml:space="preserve"> </w:t>
      </w:r>
      <w:r w:rsidR="003F4E02" w:rsidRPr="004E03C6">
        <w:rPr>
          <w:bCs/>
        </w:rPr>
        <w:t>000 sztuk.</w:t>
      </w:r>
    </w:p>
    <w:p w:rsidR="00EC516E" w:rsidRDefault="00EC516E" w:rsidP="00931FA4">
      <w:pPr>
        <w:spacing w:line="276" w:lineRule="auto"/>
        <w:ind w:left="1276" w:hanging="1276"/>
        <w:jc w:val="both"/>
        <w:rPr>
          <w:b/>
          <w:bCs/>
        </w:rPr>
      </w:pPr>
    </w:p>
    <w:p w:rsidR="00EC516E" w:rsidRDefault="00457E75" w:rsidP="00931FA4">
      <w:pPr>
        <w:spacing w:line="276" w:lineRule="auto"/>
        <w:ind w:left="1276" w:hanging="1276"/>
        <w:jc w:val="both"/>
        <w:rPr>
          <w:b/>
          <w:bCs/>
        </w:rPr>
      </w:pPr>
      <w:r>
        <w:rPr>
          <w:b/>
          <w:bCs/>
        </w:rPr>
        <w:t>1.</w:t>
      </w:r>
      <w:r w:rsidR="00EC516E">
        <w:rPr>
          <w:b/>
          <w:bCs/>
        </w:rPr>
        <w:t xml:space="preserve"> Szczegółowe parametry ze</w:t>
      </w:r>
      <w:r w:rsidR="004E03C6">
        <w:rPr>
          <w:b/>
          <w:bCs/>
        </w:rPr>
        <w:t>stawów: (bezwzględnie wymagane)</w:t>
      </w:r>
    </w:p>
    <w:p w:rsidR="00EC516E" w:rsidRPr="00EC516E" w:rsidRDefault="00EC516E" w:rsidP="00931FA4">
      <w:pPr>
        <w:spacing w:line="276" w:lineRule="auto"/>
        <w:ind w:left="1276" w:hanging="1276"/>
        <w:jc w:val="both"/>
        <w:rPr>
          <w:b/>
          <w:bCs/>
        </w:rPr>
      </w:pPr>
    </w:p>
    <w:p w:rsidR="00EC516E" w:rsidRPr="00EC516E" w:rsidRDefault="00EC516E" w:rsidP="00931FA4">
      <w:pPr>
        <w:pStyle w:val="Akapitzlist"/>
        <w:numPr>
          <w:ilvl w:val="0"/>
          <w:numId w:val="15"/>
        </w:numPr>
        <w:spacing w:after="160" w:line="276" w:lineRule="auto"/>
        <w:ind w:left="426" w:hanging="426"/>
        <w:jc w:val="both"/>
      </w:pPr>
      <w:r w:rsidRPr="00EC516E">
        <w:t>Każdy zestaw zamknięty w opakowaniu indywidualnym.</w:t>
      </w:r>
    </w:p>
    <w:p w:rsidR="00EC516E" w:rsidRPr="00EC516E" w:rsidRDefault="00EC516E" w:rsidP="00931FA4">
      <w:pPr>
        <w:pStyle w:val="Akapitzlist"/>
        <w:numPr>
          <w:ilvl w:val="0"/>
          <w:numId w:val="15"/>
        </w:numPr>
        <w:spacing w:after="160" w:line="276" w:lineRule="auto"/>
        <w:ind w:left="426" w:hanging="426"/>
        <w:jc w:val="both"/>
      </w:pPr>
      <w:r w:rsidRPr="00EC516E">
        <w:t>Opakowanie zbiorcze odporne na uszkodzenia.</w:t>
      </w:r>
    </w:p>
    <w:p w:rsidR="00EC516E" w:rsidRPr="00EC516E" w:rsidRDefault="00EC516E" w:rsidP="00931FA4">
      <w:pPr>
        <w:pStyle w:val="Akapitzlist"/>
        <w:numPr>
          <w:ilvl w:val="0"/>
          <w:numId w:val="15"/>
        </w:numPr>
        <w:spacing w:after="160" w:line="276" w:lineRule="auto"/>
        <w:ind w:left="426" w:hanging="426"/>
        <w:jc w:val="both"/>
      </w:pPr>
      <w:r w:rsidRPr="00EC516E">
        <w:t>Jedno opakowanie zbiorcze musi zawierać zestawy tylko jednej serii.</w:t>
      </w:r>
    </w:p>
    <w:p w:rsidR="00EC516E" w:rsidRPr="00EC516E" w:rsidRDefault="00EC516E" w:rsidP="00931FA4">
      <w:pPr>
        <w:pStyle w:val="Akapitzlist"/>
        <w:numPr>
          <w:ilvl w:val="0"/>
          <w:numId w:val="15"/>
        </w:numPr>
        <w:spacing w:after="160" w:line="276" w:lineRule="auto"/>
        <w:ind w:left="426" w:hanging="426"/>
        <w:jc w:val="both"/>
      </w:pPr>
      <w:r w:rsidRPr="00EC516E">
        <w:t>Zestaw wyposażony w igłę poddaną obróbce zwiększającej poślizg. Igła rozłączna, możliwa do łatwej wymiany bez konieczności stosowania dodatkowych narzędzi.</w:t>
      </w:r>
    </w:p>
    <w:p w:rsidR="00EC516E" w:rsidRPr="00EC516E" w:rsidRDefault="00EC516E" w:rsidP="00931FA4">
      <w:pPr>
        <w:pStyle w:val="Akapitzlist"/>
        <w:numPr>
          <w:ilvl w:val="0"/>
          <w:numId w:val="15"/>
        </w:numPr>
        <w:spacing w:after="160" w:line="276" w:lineRule="auto"/>
        <w:ind w:left="426" w:hanging="426"/>
        <w:jc w:val="both"/>
      </w:pPr>
      <w:r w:rsidRPr="00EC516E">
        <w:t xml:space="preserve">Wyposażony w pojemnik </w:t>
      </w:r>
      <w:proofErr w:type="spellStart"/>
      <w:r w:rsidRPr="00EC516E">
        <w:t>próbkowy</w:t>
      </w:r>
      <w:proofErr w:type="spellEnd"/>
      <w:r w:rsidRPr="00EC516E">
        <w:t xml:space="preserve"> oraz adapter do pobrania pierwszej porcji krwi przed donacją.</w:t>
      </w:r>
    </w:p>
    <w:p w:rsidR="00EC516E" w:rsidRPr="00EC516E" w:rsidRDefault="00EC516E" w:rsidP="00931FA4">
      <w:pPr>
        <w:pStyle w:val="Akapitzlist"/>
        <w:numPr>
          <w:ilvl w:val="0"/>
          <w:numId w:val="15"/>
        </w:numPr>
        <w:spacing w:after="160" w:line="276" w:lineRule="auto"/>
        <w:ind w:left="426" w:hanging="426"/>
        <w:jc w:val="both"/>
      </w:pPr>
      <w:r w:rsidRPr="00EC516E">
        <w:t>Jeden zestaw umożliwiający pobranie UKKP zawieszonego w osoczu lub PAS wraz z dodatkową jednostką osocza.</w:t>
      </w:r>
    </w:p>
    <w:p w:rsidR="00EC516E" w:rsidRPr="00EC516E" w:rsidRDefault="00EC516E" w:rsidP="00931FA4">
      <w:pPr>
        <w:pStyle w:val="Akapitzlist"/>
        <w:numPr>
          <w:ilvl w:val="0"/>
          <w:numId w:val="15"/>
        </w:numPr>
        <w:spacing w:after="160" w:line="276" w:lineRule="auto"/>
        <w:ind w:left="426" w:hanging="426"/>
        <w:jc w:val="both"/>
      </w:pPr>
      <w:r w:rsidRPr="00EC516E">
        <w:t xml:space="preserve">Zestaw wyposażony w porty do jałowego przyłączenia płynów – antykoagulantu, </w:t>
      </w:r>
      <w:proofErr w:type="spellStart"/>
      <w:r w:rsidRPr="00EC516E">
        <w:t>PAS’u</w:t>
      </w:r>
      <w:proofErr w:type="spellEnd"/>
      <w:r w:rsidRPr="00EC516E">
        <w:t xml:space="preserve"> i fizjologicznego roztworu soli.</w:t>
      </w:r>
    </w:p>
    <w:p w:rsidR="00EC516E" w:rsidRPr="00EC516E" w:rsidRDefault="00EC516E" w:rsidP="00931FA4">
      <w:pPr>
        <w:pStyle w:val="Akapitzlist"/>
        <w:numPr>
          <w:ilvl w:val="0"/>
          <w:numId w:val="15"/>
        </w:numPr>
        <w:spacing w:after="160" w:line="276" w:lineRule="auto"/>
        <w:ind w:left="426" w:hanging="426"/>
        <w:jc w:val="both"/>
      </w:pPr>
      <w:r w:rsidRPr="00EC516E">
        <w:t>Wypełniany fizjologicznym roztworem soli.</w:t>
      </w:r>
    </w:p>
    <w:p w:rsidR="00EC516E" w:rsidRPr="00EC516E" w:rsidRDefault="00EC516E" w:rsidP="00931FA4">
      <w:pPr>
        <w:pStyle w:val="Akapitzlist"/>
        <w:numPr>
          <w:ilvl w:val="0"/>
          <w:numId w:val="15"/>
        </w:numPr>
        <w:spacing w:after="160" w:line="276" w:lineRule="auto"/>
        <w:ind w:left="426" w:hanging="426"/>
        <w:jc w:val="both"/>
      </w:pPr>
      <w:r w:rsidRPr="00EC516E">
        <w:t xml:space="preserve">Wyposażony w płytkowe pojemniki </w:t>
      </w:r>
      <w:proofErr w:type="spellStart"/>
      <w:r w:rsidRPr="00EC516E">
        <w:t>kolekcyjne</w:t>
      </w:r>
      <w:proofErr w:type="spellEnd"/>
      <w:r w:rsidRPr="00EC516E">
        <w:t xml:space="preserve"> wykonane z tworzywa umożliwiającego przechowywania uzyskiwanych w wyniku separacji preparatów płytkowych przez okres co najmniej 5 dni. Pojemniki zawierają 2 porty zabezpieczone błoną od wewnątrz oraz ochronę z zewnątrz, gwarantujące jałowość oraz zapewniające łatwy dostęp do podłączenia zestawu do przetoczenia. Centralnie na dolnej krawędzi pojemników znajduje się podłużne nacięcie materiału umożliwiające zawieszenie pojemników na haczykach statywów transfuzyjnych. </w:t>
      </w:r>
    </w:p>
    <w:p w:rsidR="00EC516E" w:rsidRPr="00EC516E" w:rsidRDefault="00EC516E" w:rsidP="00931FA4">
      <w:pPr>
        <w:pStyle w:val="Akapitzlist"/>
        <w:numPr>
          <w:ilvl w:val="0"/>
          <w:numId w:val="15"/>
        </w:numPr>
        <w:spacing w:after="160" w:line="276" w:lineRule="auto"/>
        <w:ind w:left="426" w:hanging="426"/>
        <w:jc w:val="both"/>
      </w:pPr>
      <w:r w:rsidRPr="00EC516E">
        <w:t>Zestaw wyposażony w pojemnik do pobierania osocza wykonany z tworzywa umożliwiającego szokowe zamrażanie osocza w temperaturze -60°C i przechowywanie w temperaturze poniżej -25°C.</w:t>
      </w:r>
    </w:p>
    <w:p w:rsidR="00EC516E" w:rsidRPr="00EC516E" w:rsidRDefault="00EC516E" w:rsidP="00931FA4">
      <w:pPr>
        <w:pStyle w:val="Akapitzlist"/>
        <w:numPr>
          <w:ilvl w:val="0"/>
          <w:numId w:val="15"/>
        </w:numPr>
        <w:spacing w:after="160" w:line="276" w:lineRule="auto"/>
        <w:ind w:left="426" w:hanging="426"/>
        <w:jc w:val="both"/>
      </w:pPr>
      <w:r w:rsidRPr="00EC516E">
        <w:t xml:space="preserve">Etykiety pojemników </w:t>
      </w:r>
      <w:proofErr w:type="spellStart"/>
      <w:r w:rsidRPr="00EC516E">
        <w:t>kolekcyjnych</w:t>
      </w:r>
      <w:proofErr w:type="spellEnd"/>
      <w:r w:rsidRPr="00EC516E">
        <w:t xml:space="preserve"> na UKKP, osocze i </w:t>
      </w:r>
      <w:proofErr w:type="spellStart"/>
      <w:r w:rsidRPr="00EC516E">
        <w:t>KKCz</w:t>
      </w:r>
      <w:proofErr w:type="spellEnd"/>
      <w:r w:rsidRPr="00EC516E">
        <w:t xml:space="preserve"> trwale umocowane na pojemnikach, posiadające numery serii i zestawu w postaci literowo-cyfrowej i kodów kreskowych odpowiadających standardom ISBT 128 (EAN 128). Rozmiary etykiet pozwalają na przyklejenie etykiet zgodnych z wymaganiami ISBT.</w:t>
      </w:r>
    </w:p>
    <w:p w:rsidR="00EC516E" w:rsidRPr="00EC516E" w:rsidRDefault="00EC516E" w:rsidP="00931FA4">
      <w:pPr>
        <w:pStyle w:val="Akapitzlist"/>
        <w:numPr>
          <w:ilvl w:val="0"/>
          <w:numId w:val="15"/>
        </w:numPr>
        <w:spacing w:after="160" w:line="276" w:lineRule="auto"/>
        <w:ind w:left="426" w:hanging="426"/>
        <w:jc w:val="both"/>
      </w:pPr>
      <w:r w:rsidRPr="00EC516E">
        <w:t xml:space="preserve">Etykieta zestawu </w:t>
      </w:r>
      <w:r>
        <w:t xml:space="preserve">musi </w:t>
      </w:r>
      <w:r w:rsidRPr="00EC516E">
        <w:t>posiada</w:t>
      </w:r>
      <w:r>
        <w:t>ć</w:t>
      </w:r>
      <w:r w:rsidRPr="00EC516E">
        <w:t>:</w:t>
      </w:r>
    </w:p>
    <w:p w:rsidR="00EC516E" w:rsidRPr="00EC516E" w:rsidRDefault="00EC516E" w:rsidP="00931FA4">
      <w:pPr>
        <w:pStyle w:val="Akapitzlist"/>
        <w:numPr>
          <w:ilvl w:val="1"/>
          <w:numId w:val="15"/>
        </w:numPr>
        <w:tabs>
          <w:tab w:val="left" w:pos="1134"/>
        </w:tabs>
        <w:spacing w:after="160" w:line="276" w:lineRule="auto"/>
        <w:ind w:left="709" w:hanging="283"/>
        <w:jc w:val="both"/>
      </w:pPr>
      <w:r w:rsidRPr="00EC516E">
        <w:t>nazwę producenta</w:t>
      </w:r>
    </w:p>
    <w:p w:rsidR="00EC516E" w:rsidRPr="00EC516E" w:rsidRDefault="00EC516E" w:rsidP="00931FA4">
      <w:pPr>
        <w:pStyle w:val="Akapitzlist"/>
        <w:numPr>
          <w:ilvl w:val="1"/>
          <w:numId w:val="15"/>
        </w:numPr>
        <w:tabs>
          <w:tab w:val="left" w:pos="1134"/>
        </w:tabs>
        <w:spacing w:after="160" w:line="276" w:lineRule="auto"/>
        <w:ind w:left="709" w:hanging="283"/>
        <w:jc w:val="both"/>
      </w:pPr>
      <w:r w:rsidRPr="00EC516E">
        <w:lastRenderedPageBreak/>
        <w:t>znak CE</w:t>
      </w:r>
    </w:p>
    <w:p w:rsidR="00EC516E" w:rsidRPr="00EC516E" w:rsidRDefault="00EC516E" w:rsidP="00931FA4">
      <w:pPr>
        <w:pStyle w:val="Akapitzlist"/>
        <w:numPr>
          <w:ilvl w:val="1"/>
          <w:numId w:val="15"/>
        </w:numPr>
        <w:tabs>
          <w:tab w:val="left" w:pos="1134"/>
        </w:tabs>
        <w:spacing w:after="160" w:line="276" w:lineRule="auto"/>
        <w:ind w:left="709" w:hanging="283"/>
        <w:jc w:val="both"/>
      </w:pPr>
      <w:r w:rsidRPr="00EC516E">
        <w:t>numer/nazwę zestawu</w:t>
      </w:r>
    </w:p>
    <w:p w:rsidR="00EC516E" w:rsidRPr="00EC516E" w:rsidRDefault="00EC516E" w:rsidP="00931FA4">
      <w:pPr>
        <w:pStyle w:val="Akapitzlist"/>
        <w:numPr>
          <w:ilvl w:val="1"/>
          <w:numId w:val="15"/>
        </w:numPr>
        <w:tabs>
          <w:tab w:val="left" w:pos="1134"/>
        </w:tabs>
        <w:spacing w:after="160" w:line="276" w:lineRule="auto"/>
        <w:ind w:left="709" w:hanging="283"/>
        <w:jc w:val="both"/>
      </w:pPr>
      <w:r w:rsidRPr="00EC516E">
        <w:t>numer serii w postaci literowo-cyfrowej</w:t>
      </w:r>
    </w:p>
    <w:p w:rsidR="00EC516E" w:rsidRPr="00EC516E" w:rsidRDefault="00EC516E" w:rsidP="00931FA4">
      <w:pPr>
        <w:pStyle w:val="Akapitzlist"/>
        <w:numPr>
          <w:ilvl w:val="1"/>
          <w:numId w:val="15"/>
        </w:numPr>
        <w:tabs>
          <w:tab w:val="left" w:pos="1134"/>
        </w:tabs>
        <w:spacing w:after="160" w:line="276" w:lineRule="auto"/>
        <w:ind w:left="709" w:hanging="283"/>
        <w:jc w:val="both"/>
      </w:pPr>
      <w:r w:rsidRPr="00EC516E">
        <w:t>piktogram daty ważności i datę ważności w postaci cyfrowej</w:t>
      </w:r>
    </w:p>
    <w:p w:rsidR="00EC516E" w:rsidRPr="00EC516E" w:rsidRDefault="00EC516E" w:rsidP="00931FA4">
      <w:pPr>
        <w:pStyle w:val="Akapitzlist"/>
        <w:numPr>
          <w:ilvl w:val="1"/>
          <w:numId w:val="15"/>
        </w:numPr>
        <w:tabs>
          <w:tab w:val="left" w:pos="1134"/>
        </w:tabs>
        <w:spacing w:after="160" w:line="276" w:lineRule="auto"/>
        <w:ind w:left="709" w:hanging="283"/>
        <w:jc w:val="both"/>
      </w:pPr>
      <w:r w:rsidRPr="00EC516E">
        <w:t>kod kreskowy zawierający informację o numerze serii i dacie ważności w postaci kodu kreskowego zgodnego ze standardem EAN 128.</w:t>
      </w:r>
    </w:p>
    <w:p w:rsidR="00EC516E" w:rsidRDefault="00EC516E" w:rsidP="00931FA4">
      <w:pPr>
        <w:pStyle w:val="Akapitzlist"/>
        <w:numPr>
          <w:ilvl w:val="0"/>
          <w:numId w:val="15"/>
        </w:numPr>
        <w:spacing w:after="160" w:line="276" w:lineRule="auto"/>
        <w:ind w:left="426" w:hanging="426"/>
        <w:jc w:val="both"/>
      </w:pPr>
      <w:r w:rsidRPr="00EC516E">
        <w:t>Termin ważności zestawów – minimum 12 miesięcy od daty dostawy.</w:t>
      </w:r>
    </w:p>
    <w:p w:rsidR="00605C4D" w:rsidRPr="00EC516E" w:rsidRDefault="00605C4D" w:rsidP="00605C4D">
      <w:pPr>
        <w:pStyle w:val="Akapitzlist"/>
        <w:spacing w:after="160" w:line="276" w:lineRule="auto"/>
        <w:ind w:left="426"/>
        <w:jc w:val="both"/>
      </w:pPr>
    </w:p>
    <w:p w:rsidR="00EC516E" w:rsidRPr="00EC516E" w:rsidRDefault="00457E75" w:rsidP="00605C4D">
      <w:pPr>
        <w:spacing w:after="160" w:line="276" w:lineRule="auto"/>
        <w:jc w:val="both"/>
      </w:pPr>
      <w:r w:rsidRPr="002A438C">
        <w:rPr>
          <w:b/>
        </w:rPr>
        <w:t>2.</w:t>
      </w:r>
      <w:r w:rsidR="00605C4D" w:rsidRPr="002A438C">
        <w:rPr>
          <w:b/>
        </w:rPr>
        <w:t xml:space="preserve"> </w:t>
      </w:r>
      <w:r w:rsidR="002A438C" w:rsidRPr="002A438C">
        <w:rPr>
          <w:b/>
        </w:rPr>
        <w:t>Szczegółowe parametry p</w:t>
      </w:r>
      <w:r w:rsidR="00EC516E" w:rsidRPr="002A438C">
        <w:rPr>
          <w:b/>
        </w:rPr>
        <w:t>łyn</w:t>
      </w:r>
      <w:r w:rsidR="002A438C" w:rsidRPr="002A438C">
        <w:rPr>
          <w:b/>
        </w:rPr>
        <w:t>u</w:t>
      </w:r>
      <w:r w:rsidR="00EC516E" w:rsidRPr="00605C4D">
        <w:rPr>
          <w:b/>
        </w:rPr>
        <w:t xml:space="preserve"> </w:t>
      </w:r>
      <w:proofErr w:type="spellStart"/>
      <w:r w:rsidR="002A438C">
        <w:rPr>
          <w:b/>
        </w:rPr>
        <w:t>antykoagulacyjnego</w:t>
      </w:r>
      <w:proofErr w:type="spellEnd"/>
      <w:r w:rsidR="00605C4D" w:rsidRPr="00605C4D">
        <w:rPr>
          <w:b/>
        </w:rPr>
        <w:t xml:space="preserve"> ACD</w:t>
      </w:r>
      <w:r w:rsidR="00EC516E" w:rsidRPr="00EC516E">
        <w:t>:</w:t>
      </w:r>
    </w:p>
    <w:p w:rsidR="00EC516E" w:rsidRPr="00EC516E" w:rsidRDefault="00605C4D" w:rsidP="00605C4D">
      <w:pPr>
        <w:pStyle w:val="Akapitzlist"/>
        <w:numPr>
          <w:ilvl w:val="0"/>
          <w:numId w:val="18"/>
        </w:numPr>
        <w:spacing w:after="160" w:line="276" w:lineRule="auto"/>
        <w:ind w:left="426" w:hanging="426"/>
        <w:jc w:val="both"/>
      </w:pPr>
      <w:r>
        <w:t>K</w:t>
      </w:r>
      <w:r w:rsidR="00EC516E" w:rsidRPr="00EC516E">
        <w:t xml:space="preserve">ażdy pojemnik zamknięty w indywidualnym </w:t>
      </w:r>
      <w:r w:rsidR="003F4E02" w:rsidRPr="00EC516E">
        <w:t xml:space="preserve">zabezpieczającym </w:t>
      </w:r>
      <w:r w:rsidR="00EC516E" w:rsidRPr="00EC516E">
        <w:t>opakowaniu, zapewniającym odpowiednią wil</w:t>
      </w:r>
      <w:r w:rsidR="00651E52">
        <w:t>gotność w czasie przechowywania.</w:t>
      </w:r>
    </w:p>
    <w:p w:rsidR="00EC516E" w:rsidRPr="00EC516E" w:rsidRDefault="00605C4D" w:rsidP="00605C4D">
      <w:pPr>
        <w:pStyle w:val="Akapitzlist"/>
        <w:numPr>
          <w:ilvl w:val="0"/>
          <w:numId w:val="18"/>
        </w:numPr>
        <w:spacing w:after="160" w:line="276" w:lineRule="auto"/>
        <w:ind w:left="426" w:hanging="426"/>
        <w:jc w:val="both"/>
      </w:pPr>
      <w:r>
        <w:t>P</w:t>
      </w:r>
      <w:r w:rsidR="00EC516E" w:rsidRPr="00EC516E">
        <w:t xml:space="preserve">ojedyncze pojemniki zapakowane w odporne na </w:t>
      </w:r>
      <w:r w:rsidR="00651E52">
        <w:t>uszkodzenia opakowanie zbiorcze.</w:t>
      </w:r>
    </w:p>
    <w:p w:rsidR="00EC516E" w:rsidRPr="00EC516E" w:rsidRDefault="00605C4D" w:rsidP="00605C4D">
      <w:pPr>
        <w:pStyle w:val="Akapitzlist"/>
        <w:numPr>
          <w:ilvl w:val="0"/>
          <w:numId w:val="18"/>
        </w:numPr>
        <w:spacing w:after="160" w:line="276" w:lineRule="auto"/>
        <w:ind w:left="426" w:hanging="426"/>
        <w:jc w:val="both"/>
      </w:pPr>
      <w:r>
        <w:t>O</w:t>
      </w:r>
      <w:r w:rsidR="00EC516E" w:rsidRPr="00EC516E">
        <w:t>pakowanie zbiorcze zaw</w:t>
      </w:r>
      <w:r w:rsidR="003F4E02">
        <w:t>iera zestawy tylko jednej serii.</w:t>
      </w:r>
    </w:p>
    <w:p w:rsidR="00EC516E" w:rsidRPr="00EC516E" w:rsidRDefault="00605C4D" w:rsidP="00605C4D">
      <w:pPr>
        <w:pStyle w:val="Akapitzlist"/>
        <w:numPr>
          <w:ilvl w:val="0"/>
          <w:numId w:val="18"/>
        </w:numPr>
        <w:spacing w:after="160" w:line="276" w:lineRule="auto"/>
        <w:ind w:left="426" w:hanging="426"/>
        <w:jc w:val="both"/>
      </w:pPr>
      <w:r>
        <w:t>N</w:t>
      </w:r>
      <w:r w:rsidR="00EC516E" w:rsidRPr="00EC516E">
        <w:t>a opakowaniu muszą znajdować się informacje o zaleceniach producent</w:t>
      </w:r>
      <w:r w:rsidR="00651E52">
        <w:t>a co do warunków przechowywania.</w:t>
      </w:r>
    </w:p>
    <w:p w:rsidR="003F4E02" w:rsidRDefault="00605C4D" w:rsidP="00605C4D">
      <w:pPr>
        <w:pStyle w:val="Akapitzlist"/>
        <w:numPr>
          <w:ilvl w:val="0"/>
          <w:numId w:val="18"/>
        </w:numPr>
        <w:spacing w:after="160" w:line="276" w:lineRule="auto"/>
        <w:ind w:left="426" w:hanging="426"/>
        <w:jc w:val="both"/>
      </w:pPr>
      <w:r>
        <w:t>P</w:t>
      </w:r>
      <w:r w:rsidR="00EC516E" w:rsidRPr="00EC516E">
        <w:t>ojemnik musi posiadać minimum jeden port do podłączenia z</w:t>
      </w:r>
      <w:r w:rsidR="00651E52">
        <w:t>estawu do aferezy</w:t>
      </w:r>
      <w:r w:rsidR="003F4E02">
        <w:t>.</w:t>
      </w:r>
    </w:p>
    <w:p w:rsidR="00EC516E" w:rsidRPr="00EC516E" w:rsidRDefault="003F4E02" w:rsidP="00605C4D">
      <w:pPr>
        <w:pStyle w:val="Akapitzlist"/>
        <w:numPr>
          <w:ilvl w:val="0"/>
          <w:numId w:val="18"/>
        </w:numPr>
        <w:spacing w:after="160" w:line="276" w:lineRule="auto"/>
        <w:ind w:left="426" w:hanging="426"/>
        <w:jc w:val="both"/>
      </w:pPr>
      <w:r>
        <w:t>Połączenie płynu misi być kompatybilne z zamawianymi zestawami, tak aby nie powodować rozszczelnienia układu podczas separacji.</w:t>
      </w:r>
    </w:p>
    <w:p w:rsidR="00EC516E" w:rsidRPr="00EC516E" w:rsidRDefault="00605C4D" w:rsidP="00605C4D">
      <w:pPr>
        <w:pStyle w:val="Akapitzlist"/>
        <w:numPr>
          <w:ilvl w:val="0"/>
          <w:numId w:val="18"/>
        </w:numPr>
        <w:spacing w:after="160" w:line="276" w:lineRule="auto"/>
        <w:ind w:left="426" w:hanging="426"/>
        <w:jc w:val="both"/>
      </w:pPr>
      <w:r>
        <w:t>P</w:t>
      </w:r>
      <w:r w:rsidR="00EC516E" w:rsidRPr="00EC516E">
        <w:t>ojemnik musi umożliwiać zawieszenie na stojaku,</w:t>
      </w:r>
    </w:p>
    <w:p w:rsidR="00EC516E" w:rsidRPr="00EC516E" w:rsidRDefault="00605C4D" w:rsidP="00605C4D">
      <w:pPr>
        <w:pStyle w:val="Akapitzlist"/>
        <w:numPr>
          <w:ilvl w:val="0"/>
          <w:numId w:val="18"/>
        </w:numPr>
        <w:spacing w:after="160" w:line="276" w:lineRule="auto"/>
        <w:ind w:left="426" w:hanging="426"/>
        <w:jc w:val="both"/>
      </w:pPr>
      <w:r>
        <w:t>M</w:t>
      </w:r>
      <w:r w:rsidR="00EC516E" w:rsidRPr="00EC516E">
        <w:t>ateriał  z którego wykonane są pojemniki musi być przejrzysty, umożliwiający wizualną ocenę płynów znajdujących się w pojemnikach,</w:t>
      </w:r>
    </w:p>
    <w:p w:rsidR="00EC516E" w:rsidRPr="00EC516E" w:rsidRDefault="00651E52" w:rsidP="00605C4D">
      <w:pPr>
        <w:pStyle w:val="Akapitzlist"/>
        <w:numPr>
          <w:ilvl w:val="0"/>
          <w:numId w:val="18"/>
        </w:numPr>
        <w:spacing w:after="160" w:line="276" w:lineRule="auto"/>
        <w:ind w:left="426" w:hanging="426"/>
        <w:jc w:val="both"/>
      </w:pPr>
      <w:r>
        <w:t>Pojemnik m</w:t>
      </w:r>
      <w:r w:rsidR="00EC516E" w:rsidRPr="00EC516E">
        <w:t xml:space="preserve">usi być jednorazowego użytku, </w:t>
      </w:r>
      <w:proofErr w:type="spellStart"/>
      <w:r w:rsidR="00EC516E" w:rsidRPr="00EC516E">
        <w:t>apirogenny</w:t>
      </w:r>
      <w:proofErr w:type="spellEnd"/>
      <w:r w:rsidR="00EC516E" w:rsidRPr="00EC516E">
        <w:t>, nietoksyczny, do podania dożylnego podcz</w:t>
      </w:r>
      <w:r w:rsidR="003F4E02">
        <w:t>as wykonywania zabiegów aferezy.</w:t>
      </w:r>
    </w:p>
    <w:p w:rsidR="00EC516E" w:rsidRPr="00EC516E" w:rsidRDefault="00651E52" w:rsidP="00605C4D">
      <w:pPr>
        <w:pStyle w:val="Akapitzlist"/>
        <w:numPr>
          <w:ilvl w:val="0"/>
          <w:numId w:val="18"/>
        </w:numPr>
        <w:spacing w:after="160" w:line="276" w:lineRule="auto"/>
        <w:ind w:left="426" w:hanging="426"/>
        <w:jc w:val="both"/>
      </w:pPr>
      <w:r>
        <w:t>O</w:t>
      </w:r>
      <w:r w:rsidR="00EC516E" w:rsidRPr="00EC516E">
        <w:t>bjętość płynu 500 ml</w:t>
      </w:r>
      <w:r w:rsidR="003F4E02">
        <w:t>.</w:t>
      </w:r>
    </w:p>
    <w:p w:rsidR="00EC516E" w:rsidRPr="00EC516E" w:rsidRDefault="00651E52" w:rsidP="00605C4D">
      <w:pPr>
        <w:pStyle w:val="Akapitzlist"/>
        <w:numPr>
          <w:ilvl w:val="0"/>
          <w:numId w:val="18"/>
        </w:numPr>
        <w:spacing w:after="160" w:line="276" w:lineRule="auto"/>
        <w:ind w:left="426" w:hanging="426"/>
        <w:jc w:val="both"/>
      </w:pPr>
      <w:r>
        <w:t>O</w:t>
      </w:r>
      <w:r w:rsidR="00EC516E" w:rsidRPr="00EC516E">
        <w:t>znakowanie pojemnika musi zawierać informacje: nazwę producenta, pojemność, nazwę i skład płynu, numer referencyjny i numer LOT, datę ważności pojemnika, oznakowanie CE. Oznakowanie musi być w kolorze czerwonym, pozwalające na identyfikację pojemnika na każdym etapie użytkowania (bezpieczeństwo podłączenie płynu),</w:t>
      </w:r>
    </w:p>
    <w:p w:rsidR="00EC516E" w:rsidRPr="00EC516E" w:rsidRDefault="00651E52" w:rsidP="00605C4D">
      <w:pPr>
        <w:pStyle w:val="Akapitzlist"/>
        <w:numPr>
          <w:ilvl w:val="0"/>
          <w:numId w:val="18"/>
        </w:numPr>
        <w:spacing w:after="160" w:line="276" w:lineRule="auto"/>
        <w:ind w:left="426" w:hanging="426"/>
        <w:jc w:val="both"/>
      </w:pPr>
      <w:r>
        <w:t>T</w:t>
      </w:r>
      <w:r w:rsidR="00EC516E" w:rsidRPr="00EC516E">
        <w:t>ermin ważności płynu</w:t>
      </w:r>
      <w:r>
        <w:t>:</w:t>
      </w:r>
      <w:r w:rsidR="00EC516E" w:rsidRPr="00EC516E">
        <w:t xml:space="preserve"> min</w:t>
      </w:r>
      <w:r>
        <w:t>imum</w:t>
      </w:r>
      <w:r w:rsidR="00EC516E" w:rsidRPr="00EC516E">
        <w:t xml:space="preserve"> 8 miesięcy od daty dostawy.</w:t>
      </w:r>
    </w:p>
    <w:p w:rsidR="00EC516E" w:rsidRPr="00EC516E" w:rsidRDefault="00EC516E" w:rsidP="00605C4D">
      <w:pPr>
        <w:pStyle w:val="Akapitzlist"/>
        <w:spacing w:line="276" w:lineRule="auto"/>
        <w:ind w:left="426" w:hanging="426"/>
        <w:jc w:val="both"/>
      </w:pPr>
    </w:p>
    <w:p w:rsidR="009E1BB2" w:rsidRPr="009E1BB2" w:rsidRDefault="009E1BB2" w:rsidP="00931FA4">
      <w:pPr>
        <w:spacing w:line="360" w:lineRule="auto"/>
        <w:jc w:val="both"/>
      </w:pPr>
      <w:r>
        <w:t>I</w:t>
      </w:r>
      <w:r w:rsidRPr="009E1BB2">
        <w:t>I.  Dostawa.</w:t>
      </w:r>
    </w:p>
    <w:p w:rsidR="009E1BB2" w:rsidRDefault="009E1BB2" w:rsidP="000420C5">
      <w:pPr>
        <w:widowControl w:val="0"/>
        <w:numPr>
          <w:ilvl w:val="0"/>
          <w:numId w:val="11"/>
        </w:numPr>
        <w:tabs>
          <w:tab w:val="num" w:pos="360"/>
        </w:tabs>
        <w:spacing w:line="276" w:lineRule="auto"/>
        <w:ind w:left="360"/>
        <w:jc w:val="both"/>
        <w:rPr>
          <w:snapToGrid w:val="0"/>
        </w:rPr>
      </w:pPr>
      <w:r w:rsidRPr="009E1BB2">
        <w:rPr>
          <w:snapToGrid w:val="0"/>
        </w:rPr>
        <w:t xml:space="preserve">Dostawa przedmiotu zamówienia realizowana będzie sukcesywnie w ciągu </w:t>
      </w:r>
      <w:r>
        <w:rPr>
          <w:snapToGrid w:val="0"/>
        </w:rPr>
        <w:t>36</w:t>
      </w:r>
      <w:r w:rsidRPr="009E1BB2">
        <w:rPr>
          <w:snapToGrid w:val="0"/>
        </w:rPr>
        <w:t xml:space="preserve"> miesięcy po podpisaniu umowy, zgodnie z zamówieniami.</w:t>
      </w:r>
    </w:p>
    <w:p w:rsidR="00DA5D31" w:rsidRPr="00DA5D31" w:rsidRDefault="00DA5D31" w:rsidP="000420C5">
      <w:pPr>
        <w:widowControl w:val="0"/>
        <w:numPr>
          <w:ilvl w:val="0"/>
          <w:numId w:val="11"/>
        </w:numPr>
        <w:tabs>
          <w:tab w:val="num" w:pos="360"/>
        </w:tabs>
        <w:spacing w:line="276" w:lineRule="auto"/>
        <w:ind w:left="360"/>
        <w:jc w:val="both"/>
        <w:rPr>
          <w:snapToGrid w:val="0"/>
        </w:rPr>
      </w:pPr>
      <w:r w:rsidRPr="00DA5D31">
        <w:t>Z</w:t>
      </w:r>
      <w:r w:rsidRPr="00DA5D31">
        <w:t>amówienia cząstkowe składane będą w przeliczeniu na pełne opakowania.</w:t>
      </w:r>
    </w:p>
    <w:p w:rsidR="009E1BB2" w:rsidRPr="009E1BB2" w:rsidRDefault="009E1BB2" w:rsidP="000420C5">
      <w:pPr>
        <w:numPr>
          <w:ilvl w:val="0"/>
          <w:numId w:val="11"/>
        </w:numPr>
        <w:tabs>
          <w:tab w:val="num" w:pos="360"/>
        </w:tabs>
        <w:spacing w:line="276" w:lineRule="auto"/>
        <w:ind w:left="360"/>
        <w:jc w:val="both"/>
      </w:pPr>
      <w:r w:rsidRPr="009E1BB2">
        <w:t>Przedmioty zamówienia należy dostarczyć transportem do siedziby Zamawiającego i wstawić w do magazynu głównego.</w:t>
      </w:r>
    </w:p>
    <w:p w:rsidR="009E1BB2" w:rsidRPr="009E1BB2" w:rsidRDefault="009E1BB2" w:rsidP="000420C5">
      <w:pPr>
        <w:numPr>
          <w:ilvl w:val="0"/>
          <w:numId w:val="11"/>
        </w:numPr>
        <w:tabs>
          <w:tab w:val="num" w:pos="360"/>
        </w:tabs>
        <w:spacing w:line="276" w:lineRule="auto"/>
        <w:ind w:left="360"/>
        <w:jc w:val="both"/>
      </w:pPr>
      <w:r w:rsidRPr="009E1BB2">
        <w:t>Towar powinien być dostarczony i rozładowany przez dostawcę do pomieszczeń magazynowych tylko w godzinach przyjmowania towaru: 7:30 – 13:30.</w:t>
      </w:r>
    </w:p>
    <w:p w:rsidR="009E1BB2" w:rsidRPr="009E1BB2" w:rsidRDefault="009E1BB2" w:rsidP="000420C5">
      <w:pPr>
        <w:numPr>
          <w:ilvl w:val="0"/>
          <w:numId w:val="11"/>
        </w:numPr>
        <w:tabs>
          <w:tab w:val="num" w:pos="360"/>
        </w:tabs>
        <w:spacing w:line="276" w:lineRule="auto"/>
        <w:ind w:left="360"/>
        <w:jc w:val="both"/>
      </w:pPr>
      <w:r w:rsidRPr="009E1BB2">
        <w:rPr>
          <w:u w:val="single"/>
        </w:rPr>
        <w:t>Wykonawca ma obowiązek załączyć do każdorazowej dostawy fakturę (oryginał) zawierającą dane zgodne z dostawą i umową oraz wskazanie numeru postępowania</w:t>
      </w:r>
      <w:r>
        <w:rPr>
          <w:u w:val="single"/>
        </w:rPr>
        <w:t xml:space="preserve"> ZP/P</w:t>
      </w:r>
      <w:r w:rsidR="00DA5D31">
        <w:rPr>
          <w:u w:val="single"/>
        </w:rPr>
        <w:t>N/09/2026</w:t>
      </w:r>
      <w:r w:rsidRPr="009E1BB2">
        <w:rPr>
          <w:u w:val="single"/>
        </w:rPr>
        <w:t xml:space="preserve"> i datę zawarcia umowy. </w:t>
      </w:r>
      <w:r w:rsidRPr="009E1BB2">
        <w:rPr>
          <w:iCs/>
          <w:u w:val="single"/>
        </w:rPr>
        <w:t xml:space="preserve">Zamawiający dopuszcza dostarczenie faktur </w:t>
      </w:r>
      <w:r w:rsidRPr="009E1BB2">
        <w:rPr>
          <w:iCs/>
          <w:u w:val="single"/>
        </w:rPr>
        <w:lastRenderedPageBreak/>
        <w:t>oddzielnie niż dostawy, pod warunkiem, że faktury zostaną dostarczone do siedziby Zamawiającego tego samego dnia co planowana dostawa - w godzinach pracy magazynu.</w:t>
      </w:r>
    </w:p>
    <w:p w:rsidR="00DA5D31" w:rsidRDefault="009E1BB2" w:rsidP="00DA5D31">
      <w:pPr>
        <w:numPr>
          <w:ilvl w:val="0"/>
          <w:numId w:val="11"/>
        </w:numPr>
        <w:tabs>
          <w:tab w:val="num" w:pos="360"/>
        </w:tabs>
        <w:spacing w:line="276" w:lineRule="auto"/>
        <w:ind w:left="360"/>
        <w:jc w:val="both"/>
      </w:pPr>
      <w:r w:rsidRPr="009E1BB2">
        <w:rPr>
          <w:iCs/>
          <w:color w:val="000000"/>
        </w:rPr>
        <w:t xml:space="preserve">Faktury mogą być doręczane drogą elektroniczną na adres e-mail Zamawiającego: </w:t>
      </w:r>
      <w:hyperlink r:id="rId7" w:history="1">
        <w:r w:rsidRPr="009E1BB2">
          <w:rPr>
            <w:rStyle w:val="Hipercze"/>
            <w:iCs/>
          </w:rPr>
          <w:t>faktury@rckik-warszawa.com.pl</w:t>
        </w:r>
      </w:hyperlink>
      <w:r>
        <w:rPr>
          <w:color w:val="000000"/>
        </w:rPr>
        <w:t>.</w:t>
      </w:r>
    </w:p>
    <w:p w:rsidR="00DA5D31" w:rsidRDefault="00DA5D31" w:rsidP="00DA5D31">
      <w:pPr>
        <w:numPr>
          <w:ilvl w:val="0"/>
          <w:numId w:val="11"/>
        </w:numPr>
        <w:tabs>
          <w:tab w:val="num" w:pos="360"/>
        </w:tabs>
        <w:spacing w:line="276" w:lineRule="auto"/>
        <w:ind w:left="360"/>
        <w:jc w:val="both"/>
      </w:pPr>
      <w:r w:rsidRPr="00DA5D31">
        <w:t>Zamówienia na Zestawy Zamawiający składał będzie e-mailem lub faksem, z co najmniej czternastodniowym wyprzedzeniem, uwzględniając w zamówieniu ilości i termin ich dostarczenia</w:t>
      </w:r>
      <w:r>
        <w:t>,</w:t>
      </w:r>
    </w:p>
    <w:p w:rsidR="009E1BB2" w:rsidRPr="009E1BB2" w:rsidRDefault="009E1BB2" w:rsidP="00DA5D31">
      <w:pPr>
        <w:numPr>
          <w:ilvl w:val="0"/>
          <w:numId w:val="11"/>
        </w:numPr>
        <w:tabs>
          <w:tab w:val="num" w:pos="360"/>
        </w:tabs>
        <w:spacing w:line="276" w:lineRule="auto"/>
        <w:ind w:left="360"/>
        <w:jc w:val="both"/>
      </w:pPr>
      <w:r w:rsidRPr="009E1BB2">
        <w:t>W przypadku stwierdzenia przez Zamawiającego wad przedmiotu zamówienia Wykonawca zobowiązany jest do jego wymiany przedmiotu dostawy w terminie 5 dni od powiadomienia o tym fakcie przez Zamawiającego.</w:t>
      </w:r>
    </w:p>
    <w:p w:rsidR="009E1BB2" w:rsidRPr="009E1BB2" w:rsidRDefault="009E1BB2" w:rsidP="000420C5">
      <w:pPr>
        <w:numPr>
          <w:ilvl w:val="0"/>
          <w:numId w:val="11"/>
        </w:numPr>
        <w:tabs>
          <w:tab w:val="num" w:pos="360"/>
        </w:tabs>
        <w:spacing w:line="276" w:lineRule="auto"/>
        <w:ind w:left="360"/>
        <w:jc w:val="both"/>
      </w:pPr>
      <w:r w:rsidRPr="009E1BB2">
        <w:t>Wykonawca ma obowiązek w przypadku powzięcia informacji od Zamawiającego o wadzie przedmiotu zamówienia w terminie 30 dni przekazać Zamawiającemu dokumentację dotyczącą reklamacji.</w:t>
      </w:r>
    </w:p>
    <w:p w:rsidR="009E1BB2" w:rsidRPr="009E1BB2" w:rsidRDefault="009E1BB2" w:rsidP="000420C5">
      <w:pPr>
        <w:numPr>
          <w:ilvl w:val="0"/>
          <w:numId w:val="11"/>
        </w:numPr>
        <w:tabs>
          <w:tab w:val="num" w:pos="360"/>
        </w:tabs>
        <w:spacing w:line="276" w:lineRule="auto"/>
        <w:ind w:left="360"/>
        <w:jc w:val="both"/>
      </w:pPr>
      <w:r w:rsidRPr="009E1BB2">
        <w:t xml:space="preserve">Każda partia dostarczonych </w:t>
      </w:r>
      <w:r w:rsidR="000420C5">
        <w:t>zestawów</w:t>
      </w:r>
      <w:r w:rsidRPr="009E1BB2">
        <w:t xml:space="preserve"> musi posiadać znak CE i certyfikat jakości  zawierający oznaczenie serii lub partii wyrobu, datę produkcji.</w:t>
      </w:r>
    </w:p>
    <w:p w:rsidR="009E1BB2" w:rsidRPr="009E1BB2" w:rsidRDefault="009E1BB2" w:rsidP="000420C5">
      <w:pPr>
        <w:numPr>
          <w:ilvl w:val="0"/>
          <w:numId w:val="11"/>
        </w:numPr>
        <w:tabs>
          <w:tab w:val="num" w:pos="360"/>
        </w:tabs>
        <w:spacing w:line="276" w:lineRule="auto"/>
        <w:ind w:left="360"/>
        <w:jc w:val="both"/>
      </w:pPr>
      <w:r w:rsidRPr="009E1BB2">
        <w:t>W przypadku zwłoki lub dostarczeniu nie pełnej ilości zamawianego towaru do daty planowanej dostawy, Zamawiający zastrzega sobie prawo wykonania zastępczego – złożenia zamówienia u innego dostawcy, jednocześnie obciążając różnicą wynikającą z ceny zamówienia Wykonawcę. Zamawiający upoważniony jest do dokonania potrącenia z wynagrodzenia Wykonawcy z tytułu realizacji kolejnych dostaw.</w:t>
      </w:r>
    </w:p>
    <w:p w:rsidR="009E1BB2" w:rsidRPr="009E1BB2" w:rsidRDefault="009E1BB2" w:rsidP="000420C5">
      <w:pPr>
        <w:numPr>
          <w:ilvl w:val="0"/>
          <w:numId w:val="11"/>
        </w:numPr>
        <w:tabs>
          <w:tab w:val="num" w:pos="360"/>
        </w:tabs>
        <w:spacing w:line="276" w:lineRule="auto"/>
        <w:ind w:left="360"/>
        <w:jc w:val="both"/>
      </w:pPr>
      <w:r w:rsidRPr="009E1BB2">
        <w:t>Zamawiający zastrzega sobie prawo zamawiania mniejszej ilości towaru niż określona w ofercie, jednocześnie wskazuje, że ostateczna ilość zamówionego towaru nie może być mniejsza niż 70% wartości wskazanej w opisie przedmiotu zamówienia. Wykonawcy nie przysługują wobec Zamawiającego roszczenia odszkodowawcze z tytułu zmniejszenia zamówienia w powyżej wskazanym zakresie. Wykonawcy będzie przysługiwało jedynie wynagrodzenie za zrealizowane dostawy bez naliczania kar umownych w razie zmniejszenia ilości dostaw.</w:t>
      </w:r>
    </w:p>
    <w:p w:rsidR="009E1BB2" w:rsidRPr="009E1BB2" w:rsidRDefault="009E1BB2" w:rsidP="000420C5">
      <w:pPr>
        <w:numPr>
          <w:ilvl w:val="0"/>
          <w:numId w:val="11"/>
        </w:numPr>
        <w:tabs>
          <w:tab w:val="num" w:pos="360"/>
        </w:tabs>
        <w:spacing w:line="276" w:lineRule="auto"/>
        <w:ind w:left="360"/>
        <w:jc w:val="both"/>
      </w:pPr>
      <w:r w:rsidRPr="009E1BB2">
        <w:t>Wykonawca oświadcza, że materiały medyczne i sprzęt jednorazowego użytku mający wpływ na jakość składników krwi dostarczone/transportowane będą do magazynu głównego RCKiK w Warszawie w nadzorowanych  warunkach, w temperaturze zalecanej przez producenta.</w:t>
      </w:r>
    </w:p>
    <w:p w:rsidR="00E06FD4" w:rsidRDefault="009E1BB2" w:rsidP="000420C5">
      <w:pPr>
        <w:numPr>
          <w:ilvl w:val="0"/>
          <w:numId w:val="11"/>
        </w:numPr>
        <w:tabs>
          <w:tab w:val="num" w:pos="360"/>
        </w:tabs>
        <w:spacing w:line="276" w:lineRule="auto"/>
        <w:ind w:left="360"/>
        <w:jc w:val="both"/>
      </w:pPr>
      <w:r w:rsidRPr="009E1BB2">
        <w:t xml:space="preserve">Zamawiający informuje, że  nie posiada pomieszczeń do przechowywania palet transportowych, wobec powyższego nie przewiduje płatności za pozostawienie nie odebranych palet. Wykonawca powinien po dostarczeniu i rozładowaniu towaru zabrać palety w dniu dostawy. </w:t>
      </w:r>
    </w:p>
    <w:p w:rsidR="00E06FD4" w:rsidRDefault="00E06FD4" w:rsidP="00E06FD4">
      <w:pPr>
        <w:spacing w:line="276" w:lineRule="auto"/>
        <w:ind w:left="360"/>
        <w:jc w:val="both"/>
      </w:pPr>
    </w:p>
    <w:p w:rsidR="009E1BB2" w:rsidRDefault="00E06FD4" w:rsidP="00E06FD4">
      <w:pPr>
        <w:spacing w:line="276" w:lineRule="auto"/>
        <w:jc w:val="both"/>
      </w:pPr>
      <w:r>
        <w:t>III. Informacja dodatkowa:</w:t>
      </w:r>
      <w:r w:rsidR="009E1BB2" w:rsidRPr="009E1BB2">
        <w:t xml:space="preserve"> </w:t>
      </w:r>
    </w:p>
    <w:p w:rsidR="00E06FD4" w:rsidRPr="009E1BB2" w:rsidRDefault="00E06FD4" w:rsidP="00E06FD4">
      <w:pPr>
        <w:spacing w:line="276" w:lineRule="auto"/>
        <w:jc w:val="both"/>
      </w:pPr>
    </w:p>
    <w:p w:rsidR="009E1BB2" w:rsidRPr="009E1BB2" w:rsidRDefault="00E06FD4" w:rsidP="00E06FD4">
      <w:pPr>
        <w:spacing w:line="276" w:lineRule="auto"/>
        <w:jc w:val="both"/>
      </w:pPr>
      <w:r>
        <w:t xml:space="preserve">1. </w:t>
      </w:r>
      <w:r w:rsidR="00D51B6F">
        <w:t>Wykonawca dołączy do oferty s</w:t>
      </w:r>
      <w:r w:rsidR="009E1BB2" w:rsidRPr="009E1BB2">
        <w:t>pecyfikację techniczną</w:t>
      </w:r>
      <w:r w:rsidR="00D51B6F">
        <w:t xml:space="preserve"> </w:t>
      </w:r>
      <w:r>
        <w:t>zestawów i pojemników</w:t>
      </w:r>
      <w:r w:rsidR="009E1BB2" w:rsidRPr="009E1BB2">
        <w:t>, która zawierać będzie:</w:t>
      </w:r>
    </w:p>
    <w:p w:rsidR="0000337A" w:rsidRDefault="009E1BB2" w:rsidP="000420C5">
      <w:pPr>
        <w:spacing w:line="276" w:lineRule="auto"/>
        <w:ind w:firstLine="360"/>
        <w:jc w:val="both"/>
      </w:pPr>
      <w:r w:rsidRPr="009E1BB2">
        <w:t>- dane wytwórcy,</w:t>
      </w:r>
      <w:r w:rsidRPr="009E1BB2">
        <w:tab/>
      </w:r>
    </w:p>
    <w:p w:rsidR="009E1BB2" w:rsidRPr="009E1BB2" w:rsidRDefault="009E1BB2" w:rsidP="000420C5">
      <w:pPr>
        <w:spacing w:line="276" w:lineRule="auto"/>
        <w:ind w:firstLine="360"/>
        <w:jc w:val="both"/>
      </w:pPr>
      <w:r w:rsidRPr="009E1BB2">
        <w:t>- oficjalną nazwę produktu, numer kodowy,</w:t>
      </w:r>
    </w:p>
    <w:p w:rsidR="0000337A" w:rsidRDefault="009E1BB2" w:rsidP="00E06FD4">
      <w:pPr>
        <w:spacing w:line="276" w:lineRule="auto"/>
        <w:ind w:left="567" w:hanging="141"/>
        <w:jc w:val="both"/>
      </w:pPr>
      <w:r w:rsidRPr="009E1BB2">
        <w:lastRenderedPageBreak/>
        <w:t>- k</w:t>
      </w:r>
      <w:r w:rsidR="0000337A">
        <w:t xml:space="preserve">rótką charakterystykę produktu, w tym: </w:t>
      </w:r>
      <w:r w:rsidRPr="009E1BB2">
        <w:t>przeznaczenie produktu, dane techniczne</w:t>
      </w:r>
      <w:r w:rsidR="0000337A">
        <w:t xml:space="preserve"> </w:t>
      </w:r>
      <w:r w:rsidRPr="009E1BB2">
        <w:t>( w tym  rysunek –schemat budowy</w:t>
      </w:r>
      <w:r w:rsidR="0000337A">
        <w:t xml:space="preserve"> pojemnika), rodzaj materiału</w:t>
      </w:r>
      <w:r w:rsidRPr="009E1BB2">
        <w:t xml:space="preserve"> z którego wykonano produkt, sposób sterylizacji</w:t>
      </w:r>
      <w:r w:rsidR="0000337A">
        <w:t xml:space="preserve">, </w:t>
      </w:r>
      <w:r w:rsidRPr="009E1BB2">
        <w:t>skład płynów konserwujących,</w:t>
      </w:r>
    </w:p>
    <w:p w:rsidR="009E1BB2" w:rsidRPr="009E1BB2" w:rsidRDefault="009E1BB2" w:rsidP="000420C5">
      <w:pPr>
        <w:spacing w:line="276" w:lineRule="auto"/>
        <w:ind w:firstLine="426"/>
        <w:jc w:val="both"/>
      </w:pPr>
      <w:r w:rsidRPr="009E1BB2">
        <w:t xml:space="preserve">- krótką instrukcję użytkowania, </w:t>
      </w:r>
    </w:p>
    <w:p w:rsidR="009E1BB2" w:rsidRPr="009E1BB2" w:rsidRDefault="009E1BB2" w:rsidP="000420C5">
      <w:pPr>
        <w:spacing w:line="276" w:lineRule="auto"/>
        <w:ind w:firstLine="426"/>
        <w:jc w:val="both"/>
      </w:pPr>
      <w:r w:rsidRPr="009E1BB2">
        <w:t>- opis opakowania i sposób oznakowania,</w:t>
      </w:r>
    </w:p>
    <w:p w:rsidR="009E1BB2" w:rsidRPr="009E1BB2" w:rsidRDefault="009E1BB2" w:rsidP="000420C5">
      <w:pPr>
        <w:spacing w:line="276" w:lineRule="auto"/>
        <w:ind w:firstLine="426"/>
        <w:jc w:val="both"/>
      </w:pPr>
      <w:r w:rsidRPr="009E1BB2">
        <w:t>- warunki przechowywania i transportu,</w:t>
      </w:r>
    </w:p>
    <w:p w:rsidR="009E1BB2" w:rsidRPr="009E1BB2" w:rsidRDefault="004E03C6" w:rsidP="000420C5">
      <w:pPr>
        <w:spacing w:line="276" w:lineRule="auto"/>
        <w:ind w:firstLine="426"/>
        <w:jc w:val="both"/>
      </w:pPr>
      <w:r>
        <w:t>- okres przydatności do użycia.</w:t>
      </w:r>
    </w:p>
    <w:p w:rsidR="009E1BB2" w:rsidRPr="009E1BB2" w:rsidRDefault="009E1BB2" w:rsidP="000420C5">
      <w:pPr>
        <w:widowControl w:val="0"/>
        <w:spacing w:line="276" w:lineRule="auto"/>
        <w:ind w:left="426"/>
        <w:jc w:val="both"/>
      </w:pPr>
    </w:p>
    <w:p w:rsidR="009E1BB2" w:rsidRPr="009E1BB2" w:rsidRDefault="009E1BB2" w:rsidP="000420C5">
      <w:pPr>
        <w:widowControl w:val="0"/>
        <w:spacing w:line="276" w:lineRule="auto"/>
        <w:jc w:val="both"/>
      </w:pPr>
    </w:p>
    <w:p w:rsidR="009E1BB2" w:rsidRPr="009E1BB2" w:rsidRDefault="009E1BB2" w:rsidP="00931FA4">
      <w:pPr>
        <w:widowControl w:val="0"/>
        <w:jc w:val="both"/>
      </w:pPr>
    </w:p>
    <w:p w:rsidR="009E1BB2" w:rsidRPr="009E1BB2" w:rsidRDefault="009E1BB2" w:rsidP="00931FA4">
      <w:pPr>
        <w:widowControl w:val="0"/>
        <w:jc w:val="both"/>
        <w:rPr>
          <w:snapToGrid w:val="0"/>
        </w:rPr>
      </w:pPr>
    </w:p>
    <w:p w:rsidR="009E1BB2" w:rsidRPr="009E1BB2" w:rsidRDefault="009E1BB2" w:rsidP="00931FA4">
      <w:pPr>
        <w:widowControl w:val="0"/>
        <w:jc w:val="both"/>
        <w:rPr>
          <w:snapToGrid w:val="0"/>
        </w:rPr>
      </w:pPr>
    </w:p>
    <w:p w:rsidR="003A0521" w:rsidRDefault="003A0521" w:rsidP="00931FA4">
      <w:pPr>
        <w:jc w:val="both"/>
      </w:pPr>
    </w:p>
    <w:sectPr w:rsidR="003A052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3B72" w:rsidRDefault="00953B72" w:rsidP="003E5FD8">
      <w:r>
        <w:separator/>
      </w:r>
    </w:p>
  </w:endnote>
  <w:endnote w:type="continuationSeparator" w:id="0">
    <w:p w:rsidR="00953B72" w:rsidRDefault="00953B72" w:rsidP="003E5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288A" w:rsidRDefault="0009288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32118049"/>
      <w:docPartObj>
        <w:docPartGallery w:val="Page Numbers (Bottom of Page)"/>
        <w:docPartUnique/>
      </w:docPartObj>
    </w:sdtPr>
    <w:sdtEndPr/>
    <w:sdtContent>
      <w:p w:rsidR="00D51B6F" w:rsidRDefault="00D51B6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288A">
          <w:rPr>
            <w:noProof/>
          </w:rPr>
          <w:t>1</w:t>
        </w:r>
        <w:r>
          <w:fldChar w:fldCharType="end"/>
        </w:r>
      </w:p>
    </w:sdtContent>
  </w:sdt>
  <w:p w:rsidR="00D51B6F" w:rsidRDefault="00D51B6F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288A" w:rsidRDefault="0009288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3B72" w:rsidRDefault="00953B72" w:rsidP="003E5FD8">
      <w:r>
        <w:separator/>
      </w:r>
    </w:p>
  </w:footnote>
  <w:footnote w:type="continuationSeparator" w:id="0">
    <w:p w:rsidR="00953B72" w:rsidRDefault="00953B72" w:rsidP="003E5F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288A" w:rsidRDefault="0009288A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288A" w:rsidRDefault="0009288A">
    <w:pPr>
      <w:pStyle w:val="Nagwek"/>
    </w:pPr>
    <w:r>
      <w:t>ZP/PN/09/2026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288A" w:rsidRDefault="0009288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75F7DFE"/>
    <w:multiLevelType w:val="hybridMultilevel"/>
    <w:tmpl w:val="46C8CD4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483C92"/>
    <w:multiLevelType w:val="hybridMultilevel"/>
    <w:tmpl w:val="EB140042"/>
    <w:lvl w:ilvl="0" w:tplc="B608BDA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DA0F59"/>
    <w:multiLevelType w:val="hybridMultilevel"/>
    <w:tmpl w:val="F98289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6412E"/>
    <w:multiLevelType w:val="hybridMultilevel"/>
    <w:tmpl w:val="BA4ED578"/>
    <w:lvl w:ilvl="0" w:tplc="D1064C8A">
      <w:start w:val="3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E4C74FC"/>
    <w:multiLevelType w:val="hybridMultilevel"/>
    <w:tmpl w:val="D688E0E8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sz w:val="24"/>
        <w:szCs w:val="24"/>
      </w:rPr>
    </w:lvl>
    <w:lvl w:ilvl="1" w:tplc="3FBA553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A0C8B0F4">
      <w:start w:val="2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B60EE930">
      <w:start w:val="1"/>
      <w:numFmt w:val="upperRoman"/>
      <w:lvlText w:val="%4."/>
      <w:lvlJc w:val="left"/>
      <w:pPr>
        <w:ind w:left="3240" w:hanging="720"/>
      </w:pPr>
      <w:rPr>
        <w:rFonts w:hint="default"/>
        <w:b/>
        <w:sz w:val="24"/>
        <w:szCs w:val="24"/>
      </w:rPr>
    </w:lvl>
    <w:lvl w:ilvl="4" w:tplc="9CEC78CE">
      <w:start w:val="3"/>
      <w:numFmt w:val="decimal"/>
      <w:lvlText w:val="%5)"/>
      <w:lvlJc w:val="left"/>
      <w:pPr>
        <w:ind w:left="3600" w:hanging="360"/>
      </w:pPr>
      <w:rPr>
        <w:rFonts w:hint="default"/>
        <w:b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690868"/>
    <w:multiLevelType w:val="hybridMultilevel"/>
    <w:tmpl w:val="EB140042"/>
    <w:lvl w:ilvl="0" w:tplc="B608BDA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8C1360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999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E867F2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7B97C7F"/>
    <w:multiLevelType w:val="hybridMultilevel"/>
    <w:tmpl w:val="2AEAAE66"/>
    <w:lvl w:ilvl="0" w:tplc="8676C6E4">
      <w:start w:val="4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2E389A62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 w15:restartNumberingAfterBreak="0">
    <w:nsid w:val="3A3555EC"/>
    <w:multiLevelType w:val="hybridMultilevel"/>
    <w:tmpl w:val="0526F6C2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337F87"/>
    <w:multiLevelType w:val="hybridMultilevel"/>
    <w:tmpl w:val="5F18A5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E5655"/>
    <w:multiLevelType w:val="hybridMultilevel"/>
    <w:tmpl w:val="CFB621D6"/>
    <w:lvl w:ilvl="0" w:tplc="0F08E8A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1E46CFD0">
      <w:start w:val="1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877FF5"/>
    <w:multiLevelType w:val="hybridMultilevel"/>
    <w:tmpl w:val="62886816"/>
    <w:lvl w:ilvl="0" w:tplc="8AEE73C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DFF8BC4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FFFFFFFF" w:tentative="1">
      <w:start w:val="1"/>
      <w:numFmt w:val="lowerRoman"/>
      <w:pStyle w:val="Nagwek3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F2B510D"/>
    <w:multiLevelType w:val="hybridMultilevel"/>
    <w:tmpl w:val="760873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34672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DCE351B"/>
    <w:multiLevelType w:val="hybridMultilevel"/>
    <w:tmpl w:val="E3C477AA"/>
    <w:lvl w:ilvl="0" w:tplc="97726046">
      <w:start w:val="4"/>
      <w:numFmt w:val="upperRoman"/>
      <w:lvlText w:val="%1."/>
      <w:lvlJc w:val="left"/>
      <w:pPr>
        <w:ind w:left="32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7" w15:restartNumberingAfterBreak="0">
    <w:nsid w:val="6F0A2537"/>
    <w:multiLevelType w:val="hybridMultilevel"/>
    <w:tmpl w:val="967E08B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"/>
  </w:num>
  <w:num w:numId="3">
    <w:abstractNumId w:val="5"/>
  </w:num>
  <w:num w:numId="4">
    <w:abstractNumId w:val="6"/>
  </w:num>
  <w:num w:numId="5">
    <w:abstractNumId w:val="14"/>
  </w:num>
  <w:num w:numId="6">
    <w:abstractNumId w:val="3"/>
  </w:num>
  <w:num w:numId="7">
    <w:abstractNumId w:val="4"/>
  </w:num>
  <w:num w:numId="8">
    <w:abstractNumId w:val="12"/>
  </w:num>
  <w:num w:numId="9">
    <w:abstractNumId w:val="9"/>
  </w:num>
  <w:num w:numId="10">
    <w:abstractNumId w:val="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1"/>
  </w:num>
  <w:num w:numId="14">
    <w:abstractNumId w:val="17"/>
  </w:num>
  <w:num w:numId="15">
    <w:abstractNumId w:val="8"/>
  </w:num>
  <w:num w:numId="16">
    <w:abstractNumId w:val="7"/>
  </w:num>
  <w:num w:numId="17">
    <w:abstractNumId w:val="15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A81"/>
    <w:rsid w:val="0000337A"/>
    <w:rsid w:val="000153F2"/>
    <w:rsid w:val="000420C5"/>
    <w:rsid w:val="0004711D"/>
    <w:rsid w:val="000547AF"/>
    <w:rsid w:val="00081965"/>
    <w:rsid w:val="0009288A"/>
    <w:rsid w:val="000E0665"/>
    <w:rsid w:val="000F26F4"/>
    <w:rsid w:val="00102D1B"/>
    <w:rsid w:val="00176E43"/>
    <w:rsid w:val="001D2F83"/>
    <w:rsid w:val="00206738"/>
    <w:rsid w:val="00211048"/>
    <w:rsid w:val="0025125B"/>
    <w:rsid w:val="00272475"/>
    <w:rsid w:val="002A063F"/>
    <w:rsid w:val="002A438C"/>
    <w:rsid w:val="002B1890"/>
    <w:rsid w:val="002C7F01"/>
    <w:rsid w:val="00300635"/>
    <w:rsid w:val="00313A04"/>
    <w:rsid w:val="003A0521"/>
    <w:rsid w:val="003A724C"/>
    <w:rsid w:val="003E5FD8"/>
    <w:rsid w:val="003F3531"/>
    <w:rsid w:val="003F4E02"/>
    <w:rsid w:val="00435D2E"/>
    <w:rsid w:val="00457E75"/>
    <w:rsid w:val="004631A5"/>
    <w:rsid w:val="0046499A"/>
    <w:rsid w:val="004E03C6"/>
    <w:rsid w:val="00587696"/>
    <w:rsid w:val="00605C4D"/>
    <w:rsid w:val="006350CB"/>
    <w:rsid w:val="00651E52"/>
    <w:rsid w:val="00664B22"/>
    <w:rsid w:val="006A0344"/>
    <w:rsid w:val="006A2E0F"/>
    <w:rsid w:val="006B493E"/>
    <w:rsid w:val="006C36BD"/>
    <w:rsid w:val="006D6D92"/>
    <w:rsid w:val="006F11C5"/>
    <w:rsid w:val="00701229"/>
    <w:rsid w:val="0075046C"/>
    <w:rsid w:val="007D2D91"/>
    <w:rsid w:val="007F0AD9"/>
    <w:rsid w:val="007F7351"/>
    <w:rsid w:val="00804EC9"/>
    <w:rsid w:val="0080742F"/>
    <w:rsid w:val="00824215"/>
    <w:rsid w:val="00886F25"/>
    <w:rsid w:val="008C4B76"/>
    <w:rsid w:val="008D542A"/>
    <w:rsid w:val="00903773"/>
    <w:rsid w:val="00916004"/>
    <w:rsid w:val="00931FA4"/>
    <w:rsid w:val="00933EF1"/>
    <w:rsid w:val="00941D25"/>
    <w:rsid w:val="00951A81"/>
    <w:rsid w:val="00953B72"/>
    <w:rsid w:val="009A757B"/>
    <w:rsid w:val="009B15AA"/>
    <w:rsid w:val="009B7B5E"/>
    <w:rsid w:val="009D0176"/>
    <w:rsid w:val="009E1BB2"/>
    <w:rsid w:val="00A52560"/>
    <w:rsid w:val="00A73A5C"/>
    <w:rsid w:val="00A74CA9"/>
    <w:rsid w:val="00AE79FC"/>
    <w:rsid w:val="00B66674"/>
    <w:rsid w:val="00B819AC"/>
    <w:rsid w:val="00C01FFE"/>
    <w:rsid w:val="00C402BD"/>
    <w:rsid w:val="00C41E72"/>
    <w:rsid w:val="00C42D6B"/>
    <w:rsid w:val="00D073EC"/>
    <w:rsid w:val="00D51B6F"/>
    <w:rsid w:val="00D61A06"/>
    <w:rsid w:val="00DA5D31"/>
    <w:rsid w:val="00DB081E"/>
    <w:rsid w:val="00DD42B9"/>
    <w:rsid w:val="00DF110B"/>
    <w:rsid w:val="00E06FD4"/>
    <w:rsid w:val="00E171C2"/>
    <w:rsid w:val="00EB49F7"/>
    <w:rsid w:val="00EC516E"/>
    <w:rsid w:val="00ED6E71"/>
    <w:rsid w:val="00F30CB1"/>
    <w:rsid w:val="00F87A8E"/>
    <w:rsid w:val="00FB545D"/>
    <w:rsid w:val="00FD7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6F0118-9EC5-423F-B2DF-9354C4EF0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13A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E171C2"/>
    <w:pPr>
      <w:keepNext/>
      <w:numPr>
        <w:ilvl w:val="2"/>
        <w:numId w:val="1"/>
      </w:numPr>
      <w:suppressAutoHyphens/>
      <w:spacing w:line="480" w:lineRule="auto"/>
      <w:outlineLvl w:val="2"/>
    </w:pPr>
    <w:rPr>
      <w:b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rsid w:val="00951A8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951A81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Default">
    <w:name w:val="Default"/>
    <w:rsid w:val="00951A8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Tabelapozycja">
    <w:name w:val="Tabela pozycja"/>
    <w:basedOn w:val="Normalny"/>
    <w:rsid w:val="00951A81"/>
    <w:rPr>
      <w:rFonts w:ascii="Arial" w:hAnsi="Arial"/>
      <w:sz w:val="22"/>
      <w:szCs w:val="20"/>
    </w:rPr>
  </w:style>
  <w:style w:type="paragraph" w:customStyle="1" w:styleId="Akapitzlist1">
    <w:name w:val="Akapit z listą1"/>
    <w:basedOn w:val="Normalny"/>
    <w:rsid w:val="00951A81"/>
    <w:pPr>
      <w:spacing w:after="160" w:line="25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Tekstpodstawowy">
    <w:name w:val="Body Text"/>
    <w:aliases w:val=" Znak"/>
    <w:basedOn w:val="Normalny"/>
    <w:link w:val="TekstpodstawowyZnak"/>
    <w:rsid w:val="009B15AA"/>
    <w:pPr>
      <w:jc w:val="center"/>
    </w:pPr>
    <w:rPr>
      <w:sz w:val="36"/>
    </w:rPr>
  </w:style>
  <w:style w:type="character" w:customStyle="1" w:styleId="TekstpodstawowyZnak">
    <w:name w:val="Tekst podstawowy Znak"/>
    <w:aliases w:val=" Znak Znak"/>
    <w:basedOn w:val="Domylnaczcionkaakapitu"/>
    <w:link w:val="Tekstpodstawowy"/>
    <w:rsid w:val="009B15AA"/>
    <w:rPr>
      <w:rFonts w:ascii="Times New Roman" w:eastAsia="Times New Roman" w:hAnsi="Times New Roman" w:cs="Times New Roman"/>
      <w:sz w:val="36"/>
      <w:szCs w:val="24"/>
      <w:lang w:eastAsia="pl-PL"/>
    </w:rPr>
  </w:style>
  <w:style w:type="table" w:styleId="Tabela-Siatka">
    <w:name w:val="Table Grid"/>
    <w:basedOn w:val="Standardowy"/>
    <w:rsid w:val="009B15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74CA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E5FD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E5FD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E5FD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E5FD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E5FD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E5FD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E5FD8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E5FD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E5FD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E5FD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E5FD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E5FD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E171C2"/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character" w:styleId="Hipercze">
    <w:name w:val="Hyperlink"/>
    <w:semiHidden/>
    <w:unhideWhenUsed/>
    <w:rsid w:val="009E1BB2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289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faktury@rckik-warszawa.com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1088</Words>
  <Characters>6530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Przemysław Dąbski</dc:creator>
  <cp:lastModifiedBy>Przemysław Dąbski</cp:lastModifiedBy>
  <cp:revision>2</cp:revision>
  <cp:lastPrinted>2026-04-08T06:50:00Z</cp:lastPrinted>
  <dcterms:created xsi:type="dcterms:W3CDTF">2026-04-08T07:04:00Z</dcterms:created>
  <dcterms:modified xsi:type="dcterms:W3CDTF">2026-04-08T07:04:00Z</dcterms:modified>
</cp:coreProperties>
</file>